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DDA" w14:textId="2AB89681" w:rsidR="00D3342E" w:rsidRDefault="00D3342E" w:rsidP="00D50DFC">
      <w:pPr>
        <w:spacing w:before="120"/>
        <w:rPr>
          <w:rFonts w:ascii="Verdana" w:hAnsi="Verdana"/>
          <w:b/>
          <w:sz w:val="20"/>
          <w:szCs w:val="20"/>
        </w:rPr>
      </w:pPr>
      <w:r w:rsidRPr="00136399">
        <w:rPr>
          <w:rFonts w:ascii="Verdana" w:hAnsi="Verdana"/>
          <w:b/>
          <w:sz w:val="20"/>
          <w:szCs w:val="20"/>
        </w:rPr>
        <w:t xml:space="preserve">Příloha č. </w:t>
      </w:r>
      <w:r w:rsidR="00EA1B6A">
        <w:rPr>
          <w:rFonts w:ascii="Verdana" w:hAnsi="Verdana"/>
          <w:b/>
          <w:sz w:val="20"/>
          <w:szCs w:val="20"/>
        </w:rPr>
        <w:t>3</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4F3FC322" w14:textId="77777777" w:rsidR="00F46627" w:rsidRDefault="00F46627" w:rsidP="00821E27">
      <w:pPr>
        <w:jc w:val="center"/>
        <w:rPr>
          <w:rFonts w:ascii="Verdana" w:hAnsi="Verdana"/>
          <w:b/>
          <w:sz w:val="20"/>
          <w:szCs w:val="20"/>
        </w:rPr>
      </w:pPr>
    </w:p>
    <w:p w14:paraId="238F7902" w14:textId="21F5014E" w:rsidR="00821E27" w:rsidRPr="00764650" w:rsidRDefault="00D36B9D" w:rsidP="00821E27">
      <w:pPr>
        <w:jc w:val="center"/>
        <w:rPr>
          <w:rFonts w:ascii="Verdana" w:hAnsi="Verdana"/>
          <w:bCs/>
          <w:sz w:val="20"/>
          <w:szCs w:val="20"/>
        </w:rPr>
      </w:pPr>
      <w:r w:rsidRPr="00764650">
        <w:rPr>
          <w:rFonts w:ascii="Verdana" w:hAnsi="Verdana"/>
          <w:bCs/>
          <w:sz w:val="20"/>
          <w:szCs w:val="20"/>
        </w:rPr>
        <w:t>Název zakázky</w:t>
      </w:r>
      <w:r w:rsidR="00C81FF3" w:rsidRPr="00764650">
        <w:rPr>
          <w:rFonts w:ascii="Verdana" w:hAnsi="Verdana"/>
          <w:bCs/>
          <w:sz w:val="20"/>
          <w:szCs w:val="20"/>
        </w:rPr>
        <w:t xml:space="preserve"> malého rozsahu</w:t>
      </w:r>
      <w:r w:rsidRPr="00764650">
        <w:rPr>
          <w:rFonts w:ascii="Verdana" w:hAnsi="Verdana"/>
          <w:bCs/>
          <w:sz w:val="20"/>
          <w:szCs w:val="20"/>
        </w:rPr>
        <w:t xml:space="preserve">: </w:t>
      </w:r>
    </w:p>
    <w:p w14:paraId="6E787794" w14:textId="2BCFBD11" w:rsidR="00764650" w:rsidRDefault="00764650" w:rsidP="00764650">
      <w:pPr>
        <w:pStyle w:val="TableParagraph"/>
        <w:spacing w:beforeLines="60" w:before="144" w:afterLines="60" w:after="144" w:line="276" w:lineRule="auto"/>
        <w:ind w:right="104"/>
        <w:jc w:val="center"/>
        <w:rPr>
          <w:b/>
          <w:sz w:val="20"/>
        </w:rPr>
      </w:pPr>
      <w:r>
        <w:rPr>
          <w:b/>
          <w:sz w:val="20"/>
        </w:rPr>
        <w:t>„</w:t>
      </w:r>
      <w:r w:rsidR="008B5B4A">
        <w:rPr>
          <w:b/>
          <w:sz w:val="20"/>
        </w:rPr>
        <w:t>Dodávka mikroskopů s příslušenstvím</w:t>
      </w:r>
      <w:r>
        <w:rPr>
          <w:b/>
          <w:sz w:val="20"/>
        </w:rPr>
        <w:t>“</w:t>
      </w:r>
    </w:p>
    <w:p w14:paraId="11139976" w14:textId="77777777" w:rsidR="00764650" w:rsidRDefault="00764650" w:rsidP="00764650">
      <w:pPr>
        <w:pStyle w:val="TableParagraph"/>
        <w:spacing w:beforeLines="60" w:before="144" w:afterLines="60" w:after="144" w:line="276" w:lineRule="auto"/>
        <w:ind w:right="104"/>
        <w:jc w:val="center"/>
        <w:rPr>
          <w:b/>
          <w:sz w:val="20"/>
        </w:rPr>
      </w:pPr>
    </w:p>
    <w:p w14:paraId="6BCCD298" w14:textId="43ED012E" w:rsidR="00894FC6" w:rsidRDefault="00894FC6" w:rsidP="00541816">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8B5B4A">
      <w:pPr>
        <w:spacing w:afterLines="60" w:after="144" w:line="276"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06501B05" w14:textId="77777777" w:rsidR="008B5B4A" w:rsidRDefault="008B5B4A" w:rsidP="008B5B4A">
      <w:pPr>
        <w:spacing w:afterLines="60" w:after="144" w:line="276" w:lineRule="auto"/>
        <w:contextualSpacing/>
        <w:jc w:val="both"/>
        <w:rPr>
          <w:rFonts w:ascii="Verdana" w:hAnsi="Verdana"/>
          <w:bCs/>
          <w:sz w:val="20"/>
          <w:szCs w:val="20"/>
        </w:rPr>
      </w:pPr>
    </w:p>
    <w:p w14:paraId="46D7BB9C"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297D415B" w:rsidR="00821E27" w:rsidRDefault="00821E27" w:rsidP="008B5B4A">
      <w:pPr>
        <w:spacing w:afterLines="60" w:after="144" w:line="276"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3FCAAC0" w14:textId="77777777" w:rsidR="00D50DFC" w:rsidRDefault="00D50DFC" w:rsidP="00E03A24">
      <w:pPr>
        <w:spacing w:afterLines="60" w:after="144" w:line="360" w:lineRule="auto"/>
        <w:contextualSpacing/>
        <w:jc w:val="both"/>
        <w:rPr>
          <w:rFonts w:ascii="Verdana" w:hAnsi="Verdana"/>
          <w:bCs/>
          <w:sz w:val="20"/>
          <w:szCs w:val="20"/>
        </w:rPr>
      </w:pPr>
    </w:p>
    <w:p w14:paraId="79E71266" w14:textId="09533223" w:rsidR="00305993" w:rsidRPr="00305993" w:rsidRDefault="00305993" w:rsidP="00305993">
      <w:pPr>
        <w:pStyle w:val="Odstavecseseznamem"/>
        <w:numPr>
          <w:ilvl w:val="0"/>
          <w:numId w:val="7"/>
        </w:numPr>
        <w:rPr>
          <w:rFonts w:ascii="Verdana" w:hAnsi="Verdana"/>
          <w:b/>
          <w:bCs/>
          <w:sz w:val="20"/>
          <w:szCs w:val="20"/>
        </w:rPr>
      </w:pPr>
      <w:r w:rsidRPr="00305993">
        <w:rPr>
          <w:rFonts w:ascii="Verdana" w:hAnsi="Verdana"/>
          <w:b/>
          <w:bCs/>
          <w:sz w:val="20"/>
          <w:szCs w:val="20"/>
        </w:rPr>
        <w:t>PROHLÁŠENÍ O SPLNĚNÍ PROFESNÍ ZPŮSOBILOSTI:</w:t>
      </w:r>
    </w:p>
    <w:p w14:paraId="30B9D0A3" w14:textId="77777777" w:rsidR="00305993" w:rsidRPr="005479F8" w:rsidRDefault="00305993" w:rsidP="00305993">
      <w:pPr>
        <w:rPr>
          <w:rFonts w:ascii="Verdana" w:hAnsi="Verdana"/>
          <w:bCs/>
          <w:sz w:val="20"/>
          <w:szCs w:val="20"/>
        </w:rPr>
      </w:pPr>
      <w:r>
        <w:rPr>
          <w:rFonts w:ascii="Verdana" w:hAnsi="Verdana"/>
          <w:bCs/>
          <w:sz w:val="20"/>
          <w:szCs w:val="20"/>
        </w:rPr>
        <w:t xml:space="preserve">Dodavatel </w:t>
      </w:r>
      <w:r w:rsidRPr="005479F8">
        <w:rPr>
          <w:rFonts w:ascii="Verdana" w:hAnsi="Verdana"/>
          <w:bCs/>
          <w:sz w:val="20"/>
          <w:szCs w:val="20"/>
        </w:rPr>
        <w:t xml:space="preserve">prohlašuje, že </w:t>
      </w:r>
      <w:r w:rsidRPr="005C7A73">
        <w:rPr>
          <w:rFonts w:ascii="Verdana" w:hAnsi="Verdana"/>
          <w:sz w:val="20"/>
          <w:szCs w:val="20"/>
        </w:rPr>
        <w:t>splňuje profesní způsobilost a</w:t>
      </w:r>
      <w:r>
        <w:rPr>
          <w:rFonts w:ascii="Verdana" w:hAnsi="Verdana"/>
          <w:b/>
          <w:bCs/>
          <w:sz w:val="20"/>
          <w:szCs w:val="20"/>
        </w:rPr>
        <w:t xml:space="preserve"> </w:t>
      </w:r>
      <w:r w:rsidRPr="00557062">
        <w:rPr>
          <w:rFonts w:ascii="Verdana" w:hAnsi="Verdana"/>
          <w:sz w:val="20"/>
          <w:szCs w:val="20"/>
        </w:rPr>
        <w:t>předkládá</w:t>
      </w:r>
      <w:r>
        <w:rPr>
          <w:rFonts w:ascii="Verdana" w:hAnsi="Verdana"/>
          <w:b/>
          <w:bCs/>
          <w:sz w:val="20"/>
          <w:szCs w:val="20"/>
        </w:rPr>
        <w:t xml:space="preserve"> </w:t>
      </w:r>
    </w:p>
    <w:p w14:paraId="1D50AB86" w14:textId="1D5439B8" w:rsidR="00305993" w:rsidRPr="00D50DFC" w:rsidRDefault="00305993" w:rsidP="00E2799A">
      <w:pPr>
        <w:numPr>
          <w:ilvl w:val="0"/>
          <w:numId w:val="14"/>
        </w:numPr>
        <w:rPr>
          <w:rFonts w:ascii="Verdana" w:hAnsi="Verdana"/>
          <w:bCs/>
          <w:sz w:val="20"/>
          <w:szCs w:val="20"/>
        </w:rPr>
      </w:pPr>
      <w:r w:rsidRPr="00D50DFC">
        <w:rPr>
          <w:rFonts w:ascii="Verdana" w:hAnsi="Verdana"/>
          <w:bCs/>
          <w:sz w:val="20"/>
          <w:szCs w:val="20"/>
        </w:rPr>
        <w:t xml:space="preserve">výpis z obchodního rejstříku nebo z jiné obdobné evidence, pokud je dodavatel v takové evidenci zapsán </w:t>
      </w:r>
    </w:p>
    <w:p w14:paraId="496E7CF3" w14:textId="4C869757" w:rsidR="00F46627" w:rsidRDefault="00F46627" w:rsidP="00F46627">
      <w:pPr>
        <w:pStyle w:val="Odstavecseseznamem"/>
        <w:rPr>
          <w:rFonts w:ascii="Verdana" w:hAnsi="Verdana"/>
          <w:bCs/>
          <w:sz w:val="20"/>
          <w:szCs w:val="20"/>
        </w:rPr>
      </w:pPr>
      <w:r>
        <w:rPr>
          <w:rFonts w:ascii="Verdana" w:hAnsi="Verdana"/>
          <w:bCs/>
          <w:sz w:val="20"/>
          <w:szCs w:val="20"/>
        </w:rPr>
        <w:t>nebo</w:t>
      </w:r>
      <w:r w:rsidR="008A4198" w:rsidRPr="008A4198">
        <w:rPr>
          <w:rFonts w:ascii="Verdana" w:hAnsi="Verdana"/>
          <w:bCs/>
          <w:sz w:val="20"/>
          <w:szCs w:val="20"/>
        </w:rPr>
        <w:t xml:space="preserve"> </w:t>
      </w:r>
    </w:p>
    <w:p w14:paraId="3AD0F4CB" w14:textId="42BC35F3" w:rsidR="00305993" w:rsidRDefault="008A4198" w:rsidP="008A4198">
      <w:pPr>
        <w:pStyle w:val="Odstavecseseznamem"/>
        <w:numPr>
          <w:ilvl w:val="0"/>
          <w:numId w:val="14"/>
        </w:numPr>
        <w:rPr>
          <w:rFonts w:ascii="Verdana" w:hAnsi="Verdana"/>
          <w:bCs/>
          <w:sz w:val="20"/>
          <w:szCs w:val="20"/>
        </w:rPr>
      </w:pPr>
      <w:r w:rsidRPr="008A4198">
        <w:rPr>
          <w:rFonts w:ascii="Verdana" w:hAnsi="Verdana"/>
          <w:bCs/>
          <w:sz w:val="20"/>
          <w:szCs w:val="20"/>
        </w:rPr>
        <w:t>uvádí o</w:t>
      </w:r>
      <w:r w:rsidR="00305993" w:rsidRPr="008A4198">
        <w:rPr>
          <w:rFonts w:ascii="Verdana" w:hAnsi="Verdana"/>
          <w:bCs/>
          <w:sz w:val="20"/>
          <w:szCs w:val="20"/>
        </w:rPr>
        <w:t xml:space="preserve">dkaz na obchodní rejstřík: </w:t>
      </w:r>
      <w:r w:rsidR="00305993" w:rsidRPr="008A4198">
        <w:rPr>
          <w:rFonts w:ascii="Verdana" w:hAnsi="Verdana"/>
          <w:bCs/>
          <w:sz w:val="20"/>
          <w:szCs w:val="20"/>
          <w:highlight w:val="yellow"/>
        </w:rPr>
        <w:t>U</w:t>
      </w:r>
      <w:bookmarkStart w:id="0" w:name="_Hlk193190272"/>
      <w:r w:rsidR="00305993" w:rsidRPr="008A4198">
        <w:rPr>
          <w:rFonts w:ascii="Verdana" w:hAnsi="Verdana"/>
          <w:bCs/>
          <w:sz w:val="20"/>
          <w:szCs w:val="20"/>
          <w:highlight w:val="yellow"/>
        </w:rPr>
        <w:t>veďte</w:t>
      </w:r>
      <w:bookmarkEnd w:id="0"/>
      <w:r w:rsidR="00305993" w:rsidRPr="008A4198">
        <w:rPr>
          <w:rFonts w:ascii="Verdana" w:hAnsi="Verdana"/>
          <w:bCs/>
          <w:sz w:val="20"/>
          <w:szCs w:val="20"/>
          <w:highlight w:val="yellow"/>
        </w:rPr>
        <w:t xml:space="preserve"> </w:t>
      </w:r>
      <w:proofErr w:type="spellStart"/>
      <w:r w:rsidR="00305993" w:rsidRPr="008A4198">
        <w:rPr>
          <w:rFonts w:ascii="Verdana" w:hAnsi="Verdana"/>
          <w:bCs/>
          <w:sz w:val="20"/>
          <w:szCs w:val="20"/>
          <w:highlight w:val="yellow"/>
        </w:rPr>
        <w:t>url</w:t>
      </w:r>
      <w:proofErr w:type="spellEnd"/>
      <w:r w:rsidR="00305993" w:rsidRPr="008A4198">
        <w:rPr>
          <w:rFonts w:ascii="Verdana" w:hAnsi="Verdana"/>
          <w:bCs/>
          <w:sz w:val="20"/>
          <w:szCs w:val="20"/>
          <w:highlight w:val="yellow"/>
        </w:rPr>
        <w:t xml:space="preserve"> odkaz výpisu z obchodního rejstříku (viz </w:t>
      </w:r>
      <w:hyperlink r:id="rId8" w:history="1">
        <w:r w:rsidR="00305993" w:rsidRPr="008A4198">
          <w:rPr>
            <w:rStyle w:val="Hypertextovodkaz"/>
            <w:rFonts w:ascii="Verdana" w:hAnsi="Verdana"/>
            <w:bCs/>
            <w:sz w:val="20"/>
            <w:szCs w:val="20"/>
            <w:highlight w:val="yellow"/>
          </w:rPr>
          <w:t>https://or.justice.cz/ias/ui/rejstrik</w:t>
        </w:r>
      </w:hyperlink>
      <w:r w:rsidR="00305993" w:rsidRPr="008A4198">
        <w:rPr>
          <w:rFonts w:ascii="Verdana" w:hAnsi="Verdana"/>
          <w:bCs/>
          <w:sz w:val="20"/>
          <w:szCs w:val="20"/>
          <w:highlight w:val="yellow"/>
        </w:rPr>
        <w:t xml:space="preserve">)  </w:t>
      </w:r>
    </w:p>
    <w:p w14:paraId="2C34652B" w14:textId="77777777" w:rsidR="008B5B4A" w:rsidRDefault="008B5B4A" w:rsidP="008B5B4A">
      <w:pPr>
        <w:rPr>
          <w:rFonts w:ascii="Verdana" w:hAnsi="Verdana"/>
          <w:bCs/>
          <w:sz w:val="20"/>
          <w:szCs w:val="20"/>
        </w:rPr>
      </w:pPr>
    </w:p>
    <w:p w14:paraId="4F533405" w14:textId="77777777" w:rsidR="008B5B4A" w:rsidRDefault="008B5B4A" w:rsidP="008B5B4A">
      <w:pPr>
        <w:rPr>
          <w:rFonts w:ascii="Verdana" w:hAnsi="Verdana"/>
          <w:bCs/>
          <w:sz w:val="20"/>
          <w:szCs w:val="20"/>
        </w:rPr>
      </w:pPr>
    </w:p>
    <w:p w14:paraId="75F1A2C9" w14:textId="77777777" w:rsidR="008B5B4A" w:rsidRPr="008B5B4A" w:rsidRDefault="008B5B4A" w:rsidP="008B5B4A">
      <w:pPr>
        <w:rPr>
          <w:rFonts w:ascii="Verdana" w:hAnsi="Verdana"/>
          <w:bCs/>
          <w:sz w:val="20"/>
          <w:szCs w:val="20"/>
        </w:rPr>
      </w:pPr>
    </w:p>
    <w:p w14:paraId="6E0C5D8A" w14:textId="317BEE21" w:rsidR="008B5B4A" w:rsidRDefault="004C6FDC" w:rsidP="008B5B4A">
      <w:pPr>
        <w:spacing w:afterLines="60" w:after="144" w:line="360" w:lineRule="auto"/>
        <w:contextualSpacing/>
        <w:jc w:val="both"/>
        <w:rPr>
          <w:rFonts w:ascii="Verdana" w:hAnsi="Verdana"/>
          <w:bCs/>
          <w:sz w:val="20"/>
          <w:szCs w:val="20"/>
        </w:rPr>
      </w:pPr>
      <w:r w:rsidRPr="004C6FDC">
        <w:rPr>
          <w:rFonts w:ascii="Verdana" w:hAnsi="Verdana"/>
          <w:bCs/>
          <w:sz w:val="20"/>
          <w:szCs w:val="20"/>
        </w:rPr>
        <w:lastRenderedPageBreak/>
        <w:tab/>
      </w:r>
    </w:p>
    <w:p w14:paraId="5F96A670" w14:textId="77777777" w:rsidR="008B5B4A" w:rsidRDefault="008B5B4A" w:rsidP="008B5B4A">
      <w:pPr>
        <w:spacing w:afterLines="60" w:after="144" w:line="360" w:lineRule="auto"/>
        <w:contextualSpacing/>
        <w:jc w:val="both"/>
        <w:rPr>
          <w:rFonts w:ascii="Verdana" w:hAnsi="Verdana"/>
          <w:bCs/>
          <w:sz w:val="20"/>
          <w:szCs w:val="20"/>
        </w:rPr>
      </w:pPr>
    </w:p>
    <w:p w14:paraId="4FFC0F36" w14:textId="55F33385" w:rsidR="00894FC6" w:rsidRPr="008B5B4A" w:rsidRDefault="00F7499B" w:rsidP="008B5B4A">
      <w:pPr>
        <w:pStyle w:val="Odstavecseseznamem"/>
        <w:numPr>
          <w:ilvl w:val="0"/>
          <w:numId w:val="14"/>
        </w:numPr>
        <w:spacing w:afterLines="60" w:after="144" w:line="360" w:lineRule="auto"/>
        <w:jc w:val="both"/>
        <w:rPr>
          <w:rFonts w:ascii="Verdana" w:hAnsi="Verdana"/>
          <w:b/>
          <w:sz w:val="20"/>
          <w:szCs w:val="20"/>
          <w:u w:val="single"/>
        </w:rPr>
      </w:pPr>
      <w:r w:rsidRPr="008B5B4A">
        <w:rPr>
          <w:rFonts w:ascii="Verdana" w:hAnsi="Verdana"/>
          <w:b/>
          <w:sz w:val="20"/>
          <w:szCs w:val="20"/>
        </w:rPr>
        <w:t>PROHLÁŠENÍ KE ZPRACOVÁNÍ NABÍDKY:</w:t>
      </w:r>
    </w:p>
    <w:p w14:paraId="13E0795D" w14:textId="2850E380" w:rsidR="00894FC6" w:rsidRDefault="00894FC6" w:rsidP="008B5B4A">
      <w:pPr>
        <w:spacing w:before="120" w:line="276"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1C2E1EB0" w14:textId="77777777" w:rsidR="008B5B4A" w:rsidRDefault="008B5B4A" w:rsidP="008B5B4A">
      <w:pPr>
        <w:spacing w:before="120" w:line="276" w:lineRule="auto"/>
        <w:jc w:val="both"/>
        <w:rPr>
          <w:rFonts w:ascii="Verdana" w:eastAsia="Tahoma" w:hAnsi="Verdana" w:cs="Tahoma"/>
          <w:spacing w:val="1"/>
          <w:sz w:val="20"/>
          <w:szCs w:val="20"/>
        </w:rPr>
      </w:pPr>
    </w:p>
    <w:p w14:paraId="7C05C114" w14:textId="6D999CBD"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8B5B4A">
      <w:pPr>
        <w:spacing w:line="276"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8B5B4A">
      <w:pPr>
        <w:numPr>
          <w:ilvl w:val="0"/>
          <w:numId w:val="2"/>
        </w:numPr>
        <w:spacing w:line="276"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8B5B4A">
      <w:pPr>
        <w:numPr>
          <w:ilvl w:val="0"/>
          <w:numId w:val="2"/>
        </w:numPr>
        <w:spacing w:line="276"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33875A18" w14:textId="77777777" w:rsidR="00D50DFC" w:rsidRDefault="00D50DFC"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75FE270" w14:textId="77777777" w:rsidR="00D50DFC" w:rsidRDefault="00A14865" w:rsidP="008B5B4A">
      <w:pPr>
        <w:spacing w:line="276"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w:t>
      </w:r>
    </w:p>
    <w:p w14:paraId="4EB3C591" w14:textId="76C54880" w:rsidR="00D50DFC" w:rsidRDefault="00A14865" w:rsidP="008B5B4A">
      <w:pPr>
        <w:spacing w:line="276" w:lineRule="auto"/>
        <w:jc w:val="both"/>
        <w:rPr>
          <w:rFonts w:ascii="Verdana" w:eastAsia="Calibri" w:hAnsi="Verdana"/>
          <w:bCs/>
          <w:sz w:val="20"/>
          <w:szCs w:val="20"/>
        </w:rPr>
      </w:pPr>
      <w:r w:rsidRPr="0018221B">
        <w:rPr>
          <w:rFonts w:ascii="Verdana" w:eastAsia="Calibri" w:hAnsi="Verdana"/>
          <w:bCs/>
          <w:sz w:val="20"/>
          <w:szCs w:val="20"/>
        </w:rPr>
        <w:t xml:space="preserve">osobou, subjektem či orgánem, na které se vztahuje zákaz zadat nebo dále plnit veřejnou zakázku podle </w:t>
      </w:r>
      <w:r w:rsidR="00BB0129">
        <w:rPr>
          <w:rFonts w:ascii="Verdana" w:eastAsia="Calibri" w:hAnsi="Verdana"/>
          <w:bCs/>
          <w:sz w:val="20"/>
          <w:szCs w:val="20"/>
        </w:rPr>
        <w:t>platné evropské</w:t>
      </w:r>
      <w:r w:rsidR="00D50DFC">
        <w:rPr>
          <w:rFonts w:ascii="Verdana" w:eastAsia="Calibri" w:hAnsi="Verdana"/>
          <w:bCs/>
          <w:sz w:val="20"/>
          <w:szCs w:val="20"/>
        </w:rPr>
        <w:t>/národní</w:t>
      </w:r>
      <w:r w:rsidR="00BB0129">
        <w:rPr>
          <w:rFonts w:ascii="Verdana" w:eastAsia="Calibri" w:hAnsi="Verdana"/>
          <w:bCs/>
          <w:sz w:val="20"/>
          <w:szCs w:val="20"/>
        </w:rPr>
        <w:t xml:space="preserve"> </w:t>
      </w:r>
      <w:r w:rsidRPr="0018221B">
        <w:rPr>
          <w:rFonts w:ascii="Verdana" w:eastAsia="Calibri" w:hAnsi="Verdana"/>
          <w:bCs/>
          <w:sz w:val="20"/>
          <w:szCs w:val="20"/>
        </w:rPr>
        <w:t>legislativy.</w:t>
      </w:r>
    </w:p>
    <w:p w14:paraId="25E72800" w14:textId="77777777" w:rsidR="008B5B4A" w:rsidRDefault="008B5B4A" w:rsidP="008B5B4A">
      <w:pPr>
        <w:spacing w:line="276" w:lineRule="auto"/>
        <w:jc w:val="both"/>
        <w:rPr>
          <w:rFonts w:ascii="Verdana" w:eastAsia="Calibri" w:hAnsi="Verdana"/>
          <w:bCs/>
          <w:sz w:val="20"/>
          <w:szCs w:val="20"/>
        </w:rPr>
      </w:pPr>
    </w:p>
    <w:p w14:paraId="2C9D2EE4" w14:textId="77777777" w:rsidR="00541816" w:rsidRDefault="00541816" w:rsidP="00CF51A9">
      <w:pPr>
        <w:spacing w:line="360" w:lineRule="auto"/>
        <w:jc w:val="both"/>
        <w:rPr>
          <w:rFonts w:ascii="Verdana" w:eastAsia="Calibri" w:hAnsi="Verdana"/>
          <w:bCs/>
          <w:sz w:val="20"/>
          <w:szCs w:val="20"/>
        </w:rPr>
      </w:pPr>
    </w:p>
    <w:tbl>
      <w:tblPr>
        <w:tblpPr w:leftFromText="141" w:rightFromText="141" w:vertAnchor="page" w:horzAnchor="margin" w:tblpY="10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708"/>
        <w:gridCol w:w="2607"/>
      </w:tblGrid>
      <w:tr w:rsidR="008B5B4A" w:rsidRPr="00136399" w14:paraId="35986835" w14:textId="77777777" w:rsidTr="008B5B4A">
        <w:trPr>
          <w:trHeight w:val="312"/>
        </w:trPr>
        <w:tc>
          <w:tcPr>
            <w:tcW w:w="6374" w:type="dxa"/>
            <w:gridSpan w:val="2"/>
            <w:vAlign w:val="center"/>
          </w:tcPr>
          <w:p w14:paraId="015893BE" w14:textId="77777777" w:rsidR="008B5B4A" w:rsidRPr="00136399" w:rsidRDefault="008B5B4A" w:rsidP="008B5B4A">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c>
          <w:tcPr>
            <w:tcW w:w="2607" w:type="dxa"/>
            <w:vMerge w:val="restart"/>
            <w:vAlign w:val="center"/>
          </w:tcPr>
          <w:p w14:paraId="3E2892E6" w14:textId="77777777" w:rsidR="008B5B4A" w:rsidRPr="00136399" w:rsidRDefault="008B5B4A" w:rsidP="008B5B4A">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r>
      <w:tr w:rsidR="008B5B4A" w:rsidRPr="00136399" w14:paraId="15DBC885" w14:textId="77777777" w:rsidTr="008B5B4A">
        <w:trPr>
          <w:trHeight w:val="468"/>
        </w:trPr>
        <w:tc>
          <w:tcPr>
            <w:tcW w:w="6374" w:type="dxa"/>
            <w:gridSpan w:val="2"/>
            <w:vAlign w:val="center"/>
          </w:tcPr>
          <w:p w14:paraId="32E298B7" w14:textId="77777777" w:rsidR="008B5B4A" w:rsidRPr="00136399" w:rsidRDefault="008B5B4A" w:rsidP="008B5B4A">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2607" w:type="dxa"/>
            <w:vMerge/>
            <w:vAlign w:val="center"/>
          </w:tcPr>
          <w:p w14:paraId="3A0967B1" w14:textId="77777777" w:rsidR="008B5B4A" w:rsidRPr="00136399" w:rsidRDefault="008B5B4A" w:rsidP="008B5B4A">
            <w:pPr>
              <w:tabs>
                <w:tab w:val="left" w:pos="2694"/>
              </w:tabs>
              <w:spacing w:before="120" w:after="120"/>
              <w:jc w:val="center"/>
              <w:rPr>
                <w:rFonts w:ascii="Verdana" w:hAnsi="Verdana"/>
                <w:sz w:val="20"/>
                <w:szCs w:val="20"/>
              </w:rPr>
            </w:pPr>
          </w:p>
        </w:tc>
      </w:tr>
      <w:tr w:rsidR="008B5B4A" w:rsidRPr="00136399" w14:paraId="5603313F" w14:textId="77777777" w:rsidTr="008B5B4A">
        <w:trPr>
          <w:trHeight w:val="312"/>
        </w:trPr>
        <w:tc>
          <w:tcPr>
            <w:tcW w:w="1666" w:type="dxa"/>
            <w:vAlign w:val="center"/>
          </w:tcPr>
          <w:p w14:paraId="2BA85A47" w14:textId="77777777" w:rsidR="008B5B4A" w:rsidRPr="00136399" w:rsidRDefault="008B5B4A" w:rsidP="008B5B4A">
            <w:pPr>
              <w:tabs>
                <w:tab w:val="left" w:pos="2694"/>
              </w:tabs>
              <w:spacing w:before="120" w:after="120"/>
              <w:rPr>
                <w:rFonts w:ascii="Verdana" w:hAnsi="Verdana"/>
                <w:sz w:val="20"/>
                <w:szCs w:val="20"/>
              </w:rPr>
            </w:pPr>
            <w:r w:rsidRPr="00136399">
              <w:rPr>
                <w:rFonts w:ascii="Verdana" w:hAnsi="Verdana"/>
                <w:sz w:val="20"/>
                <w:szCs w:val="20"/>
              </w:rPr>
              <w:t>V</w:t>
            </w:r>
          </w:p>
        </w:tc>
        <w:tc>
          <w:tcPr>
            <w:tcW w:w="4708" w:type="dxa"/>
            <w:vAlign w:val="center"/>
          </w:tcPr>
          <w:p w14:paraId="749C25F7" w14:textId="77777777" w:rsidR="008B5B4A" w:rsidRPr="00136399" w:rsidRDefault="008B5B4A" w:rsidP="008B5B4A">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2607" w:type="dxa"/>
            <w:vMerge/>
            <w:vAlign w:val="center"/>
          </w:tcPr>
          <w:p w14:paraId="25695C35" w14:textId="77777777" w:rsidR="008B5B4A" w:rsidRPr="00136399" w:rsidRDefault="008B5B4A" w:rsidP="008B5B4A">
            <w:pPr>
              <w:tabs>
                <w:tab w:val="left" w:pos="2694"/>
              </w:tabs>
              <w:spacing w:before="120" w:after="120"/>
              <w:jc w:val="center"/>
              <w:rPr>
                <w:rFonts w:ascii="Verdana" w:hAnsi="Verdana"/>
                <w:sz w:val="20"/>
                <w:szCs w:val="20"/>
                <w:u w:val="single"/>
              </w:rPr>
            </w:pPr>
          </w:p>
        </w:tc>
      </w:tr>
      <w:tr w:rsidR="008B5B4A" w:rsidRPr="00136399" w14:paraId="4E1D5282" w14:textId="77777777" w:rsidTr="008B5B4A">
        <w:trPr>
          <w:trHeight w:val="254"/>
        </w:trPr>
        <w:tc>
          <w:tcPr>
            <w:tcW w:w="1666" w:type="dxa"/>
            <w:vAlign w:val="center"/>
          </w:tcPr>
          <w:p w14:paraId="53852F7A" w14:textId="77777777" w:rsidR="008B5B4A" w:rsidRPr="00136399" w:rsidRDefault="008B5B4A" w:rsidP="008B5B4A">
            <w:pPr>
              <w:tabs>
                <w:tab w:val="left" w:pos="2694"/>
              </w:tabs>
              <w:spacing w:before="120" w:after="120"/>
              <w:rPr>
                <w:rFonts w:ascii="Verdana" w:hAnsi="Verdana"/>
                <w:sz w:val="20"/>
                <w:szCs w:val="20"/>
              </w:rPr>
            </w:pPr>
            <w:r w:rsidRPr="00136399">
              <w:rPr>
                <w:rFonts w:ascii="Verdana" w:hAnsi="Verdana"/>
                <w:sz w:val="20"/>
                <w:szCs w:val="20"/>
              </w:rPr>
              <w:t>Dne</w:t>
            </w:r>
          </w:p>
        </w:tc>
        <w:tc>
          <w:tcPr>
            <w:tcW w:w="4708" w:type="dxa"/>
            <w:vAlign w:val="center"/>
          </w:tcPr>
          <w:p w14:paraId="377B433F" w14:textId="77777777" w:rsidR="008B5B4A" w:rsidRPr="00136399" w:rsidRDefault="008B5B4A" w:rsidP="008B5B4A">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2607" w:type="dxa"/>
            <w:vAlign w:val="center"/>
          </w:tcPr>
          <w:p w14:paraId="0ECF9F42" w14:textId="77777777" w:rsidR="008B5B4A" w:rsidRPr="00136399" w:rsidRDefault="008B5B4A" w:rsidP="008B5B4A">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6CBBD05A" w14:textId="2AC66C6A" w:rsidR="004C6FDC"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4C6FDC" w:rsidRPr="00B81D8D" w:rsidSect="00305993">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2EA0" w14:textId="77777777" w:rsidR="00970B44" w:rsidRDefault="00970B44" w:rsidP="00D3342E">
      <w:r>
        <w:separator/>
      </w:r>
    </w:p>
  </w:endnote>
  <w:endnote w:type="continuationSeparator" w:id="0">
    <w:p w14:paraId="3B241CFD" w14:textId="77777777" w:rsidR="00970B44" w:rsidRDefault="00970B44"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F75"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982"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881"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E95E" w14:textId="77777777" w:rsidR="00970B44" w:rsidRDefault="00970B44" w:rsidP="00D3342E">
      <w:r>
        <w:separator/>
      </w:r>
    </w:p>
  </w:footnote>
  <w:footnote w:type="continuationSeparator" w:id="0">
    <w:p w14:paraId="12877FA4" w14:textId="77777777" w:rsidR="00970B44" w:rsidRDefault="00970B44"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5F9B"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F74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43C8C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866B1D"/>
    <w:multiLevelType w:val="hybridMultilevel"/>
    <w:tmpl w:val="33BC0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870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340932">
    <w:abstractNumId w:val="12"/>
  </w:num>
  <w:num w:numId="3" w16cid:durableId="1444230523">
    <w:abstractNumId w:val="5"/>
  </w:num>
  <w:num w:numId="4" w16cid:durableId="58863614">
    <w:abstractNumId w:val="1"/>
  </w:num>
  <w:num w:numId="5" w16cid:durableId="517813677">
    <w:abstractNumId w:val="2"/>
  </w:num>
  <w:num w:numId="6" w16cid:durableId="137109825">
    <w:abstractNumId w:val="0"/>
  </w:num>
  <w:num w:numId="7" w16cid:durableId="485782548">
    <w:abstractNumId w:val="8"/>
  </w:num>
  <w:num w:numId="8" w16cid:durableId="598220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7508834">
    <w:abstractNumId w:val="6"/>
  </w:num>
  <w:num w:numId="10" w16cid:durableId="1918051886">
    <w:abstractNumId w:val="7"/>
  </w:num>
  <w:num w:numId="11" w16cid:durableId="1453205737">
    <w:abstractNumId w:val="10"/>
  </w:num>
  <w:num w:numId="12" w16cid:durableId="1695036551">
    <w:abstractNumId w:val="4"/>
  </w:num>
  <w:num w:numId="13" w16cid:durableId="455178940">
    <w:abstractNumId w:val="3"/>
  </w:num>
  <w:num w:numId="14" w16cid:durableId="267547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26922"/>
    <w:rsid w:val="00263508"/>
    <w:rsid w:val="002701B8"/>
    <w:rsid w:val="00273680"/>
    <w:rsid w:val="002903B7"/>
    <w:rsid w:val="002B3E9A"/>
    <w:rsid w:val="002C3195"/>
    <w:rsid w:val="002D29A8"/>
    <w:rsid w:val="002E55E3"/>
    <w:rsid w:val="002F2D63"/>
    <w:rsid w:val="0030599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4C6FDC"/>
    <w:rsid w:val="00504DBA"/>
    <w:rsid w:val="00511483"/>
    <w:rsid w:val="005202BA"/>
    <w:rsid w:val="00525750"/>
    <w:rsid w:val="00534996"/>
    <w:rsid w:val="0054181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40B"/>
    <w:rsid w:val="0074598B"/>
    <w:rsid w:val="007501DD"/>
    <w:rsid w:val="007627C0"/>
    <w:rsid w:val="00764650"/>
    <w:rsid w:val="007667A8"/>
    <w:rsid w:val="00780036"/>
    <w:rsid w:val="00786047"/>
    <w:rsid w:val="00787A01"/>
    <w:rsid w:val="007A411A"/>
    <w:rsid w:val="007A72F7"/>
    <w:rsid w:val="007B3274"/>
    <w:rsid w:val="007C7D68"/>
    <w:rsid w:val="007E3ABF"/>
    <w:rsid w:val="007F15D6"/>
    <w:rsid w:val="007F31B3"/>
    <w:rsid w:val="007F37E0"/>
    <w:rsid w:val="007F3A79"/>
    <w:rsid w:val="007F5F01"/>
    <w:rsid w:val="00810EBE"/>
    <w:rsid w:val="00821E27"/>
    <w:rsid w:val="00834D4B"/>
    <w:rsid w:val="00842C6A"/>
    <w:rsid w:val="008561F8"/>
    <w:rsid w:val="00871E8E"/>
    <w:rsid w:val="00882F26"/>
    <w:rsid w:val="00894FC6"/>
    <w:rsid w:val="008A0C7E"/>
    <w:rsid w:val="008A1DD6"/>
    <w:rsid w:val="008A4198"/>
    <w:rsid w:val="008B1A07"/>
    <w:rsid w:val="008B5B4A"/>
    <w:rsid w:val="008E2E0A"/>
    <w:rsid w:val="008E44CF"/>
    <w:rsid w:val="008F7159"/>
    <w:rsid w:val="0090691B"/>
    <w:rsid w:val="009314DF"/>
    <w:rsid w:val="0093165D"/>
    <w:rsid w:val="00934930"/>
    <w:rsid w:val="00961BB7"/>
    <w:rsid w:val="00970B44"/>
    <w:rsid w:val="0098525D"/>
    <w:rsid w:val="00991155"/>
    <w:rsid w:val="009B3FB7"/>
    <w:rsid w:val="009B4BDB"/>
    <w:rsid w:val="009C0D80"/>
    <w:rsid w:val="009D7888"/>
    <w:rsid w:val="00A00DFC"/>
    <w:rsid w:val="00A03D03"/>
    <w:rsid w:val="00A14865"/>
    <w:rsid w:val="00A20B86"/>
    <w:rsid w:val="00A2321E"/>
    <w:rsid w:val="00A253DF"/>
    <w:rsid w:val="00A50CF7"/>
    <w:rsid w:val="00A51A2C"/>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CF6676"/>
    <w:rsid w:val="00D14EDA"/>
    <w:rsid w:val="00D3342E"/>
    <w:rsid w:val="00D36B9D"/>
    <w:rsid w:val="00D50DFC"/>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974A8"/>
    <w:rsid w:val="00EA1B6A"/>
    <w:rsid w:val="00EA1E5E"/>
    <w:rsid w:val="00EA643F"/>
    <w:rsid w:val="00EB15BC"/>
    <w:rsid w:val="00EB2C0A"/>
    <w:rsid w:val="00EE04AA"/>
    <w:rsid w:val="00EE16CF"/>
    <w:rsid w:val="00F07D7E"/>
    <w:rsid w:val="00F10B87"/>
    <w:rsid w:val="00F145B4"/>
    <w:rsid w:val="00F4662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character" w:styleId="Hypertextovodkaz">
    <w:name w:val="Hyperlink"/>
    <w:uiPriority w:val="99"/>
    <w:unhideWhenUsed/>
    <w:rsid w:val="00305993"/>
    <w:rPr>
      <w:color w:val="0563C1"/>
      <w:u w:val="single"/>
    </w:rPr>
  </w:style>
  <w:style w:type="paragraph" w:customStyle="1" w:styleId="TableParagraph">
    <w:name w:val="Table Paragraph"/>
    <w:basedOn w:val="Normln"/>
    <w:uiPriority w:val="1"/>
    <w:qFormat/>
    <w:rsid w:val="00764650"/>
    <w:pPr>
      <w:widowControl w:val="0"/>
      <w:autoSpaceDE w:val="0"/>
      <w:autoSpaceDN w:val="0"/>
      <w:spacing w:before="120"/>
      <w:ind w:left="107"/>
    </w:pPr>
    <w:rPr>
      <w:rFonts w:ascii="Verdana" w:eastAsia="Verdana" w:hAnsi="Verdana" w:cs="Verdana"/>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A2DA-FC05-483A-ADC0-B72E0DE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560</Words>
  <Characters>3254</Characters>
  <Application>Microsoft Office Word</Application>
  <DocSecurity>0</DocSecurity>
  <Lines>87</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Karlová Šárka</cp:lastModifiedBy>
  <cp:revision>24</cp:revision>
  <cp:lastPrinted>2013-09-27T09:18:00Z</cp:lastPrinted>
  <dcterms:created xsi:type="dcterms:W3CDTF">2025-02-13T08:37:00Z</dcterms:created>
  <dcterms:modified xsi:type="dcterms:W3CDTF">2026-02-26T09:43:00Z</dcterms:modified>
</cp:coreProperties>
</file>